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B76A" w14:textId="77777777" w:rsidR="00C852AE" w:rsidRPr="00B149F8" w:rsidRDefault="00C852AE" w:rsidP="00B149F8">
      <w:pPr>
        <w:pStyle w:val="NoSpacing"/>
        <w:rPr>
          <w:sz w:val="20"/>
          <w:szCs w:val="20"/>
        </w:rPr>
      </w:pPr>
      <w:r w:rsidRPr="00B149F8">
        <w:rPr>
          <w:sz w:val="20"/>
          <w:szCs w:val="20"/>
        </w:rPr>
        <w:t>Press release</w:t>
      </w:r>
    </w:p>
    <w:p w14:paraId="0899497C" w14:textId="7533C4C2" w:rsidR="00C852AE" w:rsidRPr="00B149F8" w:rsidRDefault="00C852AE" w:rsidP="00B149F8">
      <w:pPr>
        <w:pStyle w:val="NoSpacing"/>
        <w:rPr>
          <w:sz w:val="20"/>
          <w:szCs w:val="20"/>
        </w:rPr>
      </w:pPr>
      <w:r w:rsidRPr="00CB14DC">
        <w:rPr>
          <w:sz w:val="20"/>
          <w:szCs w:val="20"/>
          <w:highlight w:val="yellow"/>
        </w:rPr>
        <w:t xml:space="preserve">Embargoed until </w:t>
      </w:r>
      <w:r w:rsidR="003B244E">
        <w:rPr>
          <w:color w:val="FF0000"/>
          <w:sz w:val="20"/>
          <w:szCs w:val="20"/>
          <w:highlight w:val="yellow"/>
        </w:rPr>
        <w:t>4</w:t>
      </w:r>
      <w:r w:rsidRPr="00CB14DC">
        <w:rPr>
          <w:color w:val="FF0000"/>
          <w:sz w:val="20"/>
          <w:szCs w:val="20"/>
          <w:highlight w:val="yellow"/>
        </w:rPr>
        <w:t xml:space="preserve"> </w:t>
      </w:r>
      <w:r w:rsidR="003B244E">
        <w:rPr>
          <w:color w:val="FF0000"/>
          <w:sz w:val="20"/>
          <w:szCs w:val="20"/>
          <w:highlight w:val="yellow"/>
        </w:rPr>
        <w:t>October</w:t>
      </w:r>
      <w:r w:rsidRPr="00CB14DC">
        <w:rPr>
          <w:color w:val="FF0000"/>
          <w:sz w:val="20"/>
          <w:szCs w:val="20"/>
          <w:highlight w:val="yellow"/>
        </w:rPr>
        <w:t xml:space="preserve"> </w:t>
      </w:r>
      <w:r w:rsidR="00D862F1" w:rsidRPr="00CB14DC">
        <w:rPr>
          <w:color w:val="FF0000"/>
          <w:sz w:val="20"/>
          <w:szCs w:val="20"/>
          <w:highlight w:val="yellow"/>
        </w:rPr>
        <w:t xml:space="preserve">2023 </w:t>
      </w:r>
      <w:r w:rsidRPr="00CB14DC">
        <w:rPr>
          <w:color w:val="FF0000"/>
          <w:sz w:val="20"/>
          <w:szCs w:val="20"/>
          <w:highlight w:val="yellow"/>
        </w:rPr>
        <w:t>at 10:00 CET</w:t>
      </w:r>
    </w:p>
    <w:p w14:paraId="4AEF4C58" w14:textId="77777777" w:rsidR="00C852AE" w:rsidRDefault="00C852AE" w:rsidP="00C852AE">
      <w:pPr>
        <w:rPr>
          <w:b/>
          <w:sz w:val="28"/>
          <w:szCs w:val="32"/>
        </w:rPr>
      </w:pPr>
    </w:p>
    <w:p w14:paraId="251A2E3B" w14:textId="1EA74FC3" w:rsidR="007E1A93" w:rsidRPr="003B2201" w:rsidRDefault="003B244E" w:rsidP="003B2201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Future proofing cyber security in an increasingly digital world</w:t>
      </w:r>
      <w:r w:rsidR="007E1A93" w:rsidRPr="007E1A93" w:rsidDel="007E1A93">
        <w:rPr>
          <w:b/>
          <w:sz w:val="28"/>
          <w:szCs w:val="32"/>
        </w:rPr>
        <w:t xml:space="preserve"> </w:t>
      </w:r>
    </w:p>
    <w:p w14:paraId="778D2D78" w14:textId="6091BB2C" w:rsidR="003B2201" w:rsidRPr="00B149F8" w:rsidRDefault="003B244E" w:rsidP="003B244E">
      <w:pPr>
        <w:pStyle w:val="NoSpacing"/>
        <w:jc w:val="center"/>
      </w:pPr>
      <w:r>
        <w:t xml:space="preserve">Most organisations’ current cyber security strategies are no longer enough to combat threats. Mazars’ latest report </w:t>
      </w:r>
      <w:r w:rsidR="003B2201" w:rsidRPr="00B149F8">
        <w:t>explains how companies can stay ahead.</w:t>
      </w:r>
    </w:p>
    <w:p w14:paraId="05CF145F" w14:textId="77777777" w:rsidR="00A7477B" w:rsidRPr="00B149F8" w:rsidRDefault="00A7477B" w:rsidP="0024230C">
      <w:pPr>
        <w:jc w:val="center"/>
        <w:rPr>
          <w:iCs/>
          <w:szCs w:val="20"/>
        </w:rPr>
      </w:pPr>
    </w:p>
    <w:p w14:paraId="42034008" w14:textId="7CC0B02F" w:rsidR="00D60E1F" w:rsidRDefault="003B244E" w:rsidP="00B149F8">
      <w:pPr>
        <w:pStyle w:val="NoSpacing"/>
      </w:pPr>
      <w:r>
        <w:rPr>
          <w:b/>
          <w:bCs/>
          <w:color w:val="FF0000"/>
        </w:rPr>
        <w:t>4</w:t>
      </w:r>
      <w:r w:rsidR="00D60E1F" w:rsidRPr="00FC74B7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October</w:t>
      </w:r>
      <w:r w:rsidR="00D60E1F" w:rsidRPr="00FC74B7">
        <w:rPr>
          <w:b/>
          <w:bCs/>
          <w:color w:val="FF0000"/>
        </w:rPr>
        <w:t xml:space="preserve"> 2023</w:t>
      </w:r>
      <w:r w:rsidR="00D60E1F" w:rsidRPr="00F8360B">
        <w:t>:</w:t>
      </w:r>
      <w:r w:rsidR="00D60E1F" w:rsidRPr="00B149F8">
        <w:t xml:space="preserve"> Mazars, the international audit, tax and advisory firm, today announces </w:t>
      </w:r>
      <w:r w:rsidR="002634CA" w:rsidRPr="00B149F8">
        <w:t xml:space="preserve">the release of </w:t>
      </w:r>
      <w:r w:rsidR="00D60E1F" w:rsidRPr="00B149F8">
        <w:t xml:space="preserve">its new </w:t>
      </w:r>
      <w:r w:rsidR="00D60E1F" w:rsidRPr="00C4555F">
        <w:t>report</w:t>
      </w:r>
      <w:r w:rsidR="00C40884" w:rsidRPr="00C4555F">
        <w:t xml:space="preserve">, </w:t>
      </w:r>
      <w:r>
        <w:rPr>
          <w:i/>
          <w:iCs/>
        </w:rPr>
        <w:t>Future proofing cyber security in an increasingly digital world</w:t>
      </w:r>
      <w:r w:rsidR="00D60E1F" w:rsidRPr="00C4555F">
        <w:t xml:space="preserve"> </w:t>
      </w:r>
      <w:r w:rsidR="00C4555F">
        <w:t>–</w:t>
      </w:r>
      <w:r w:rsidR="00D60E1F" w:rsidRPr="00C4555F">
        <w:t xml:space="preserve"> an</w:t>
      </w:r>
      <w:r w:rsidR="00D60E1F" w:rsidRPr="00B149F8">
        <w:t xml:space="preserve"> action-oriented guide to how </w:t>
      </w:r>
      <w:r w:rsidR="005226F8">
        <w:t>businesses</w:t>
      </w:r>
      <w:r w:rsidR="00D60E1F" w:rsidRPr="00B149F8">
        <w:t xml:space="preserve"> can</w:t>
      </w:r>
      <w:r w:rsidR="005226F8">
        <w:t xml:space="preserve"> protect themselves and others by understanding and mitigating cyber risks</w:t>
      </w:r>
      <w:r w:rsidR="00D60E1F" w:rsidRPr="00B149F8">
        <w:t>.</w:t>
      </w:r>
    </w:p>
    <w:p w14:paraId="6B66461F" w14:textId="77777777" w:rsidR="004D03C2" w:rsidRDefault="004D03C2" w:rsidP="00B149F8">
      <w:pPr>
        <w:pStyle w:val="NoSpacing"/>
      </w:pPr>
    </w:p>
    <w:p w14:paraId="1D8D9327" w14:textId="1AE276B5" w:rsidR="004D03C2" w:rsidRDefault="004D03C2" w:rsidP="00B149F8">
      <w:pPr>
        <w:pStyle w:val="NoSpacing"/>
      </w:pPr>
      <w:r>
        <w:rPr>
          <w:b/>
        </w:rPr>
        <w:t>Jan Matto</w:t>
      </w:r>
      <w:r w:rsidRPr="00B149F8">
        <w:rPr>
          <w:b/>
        </w:rPr>
        <w:t xml:space="preserve">, </w:t>
      </w:r>
      <w:r>
        <w:rPr>
          <w:b/>
        </w:rPr>
        <w:t>Global Lead, Cyber Security and Data Protection</w:t>
      </w:r>
      <w:r w:rsidRPr="00B149F8">
        <w:rPr>
          <w:b/>
        </w:rPr>
        <w:t xml:space="preserve">, Mazars </w:t>
      </w:r>
      <w:r w:rsidRPr="00B149F8">
        <w:t>says: “</w:t>
      </w:r>
      <w:r w:rsidRPr="00A13C89">
        <w:rPr>
          <w:rFonts w:cstheme="minorHAnsi"/>
          <w:i/>
          <w:iCs/>
        </w:rPr>
        <w:t>No matter how well an organisation believes its data is protected there is always the risk of a breach, so businesses need to be ready</w:t>
      </w:r>
      <w:r w:rsidRPr="00B149F8">
        <w:t>.</w:t>
      </w:r>
      <w:r>
        <w:rPr>
          <w:i/>
          <w:iCs/>
        </w:rPr>
        <w:t xml:space="preserve"> Cyber security is not a luxury, it’s a public interest obligation.</w:t>
      </w:r>
      <w:r w:rsidRPr="00B149F8">
        <w:t xml:space="preserve">”  </w:t>
      </w:r>
    </w:p>
    <w:p w14:paraId="30EE1D37" w14:textId="77777777" w:rsidR="00311732" w:rsidRDefault="00311732" w:rsidP="00B149F8">
      <w:pPr>
        <w:pStyle w:val="NoSpacing"/>
      </w:pPr>
    </w:p>
    <w:p w14:paraId="240B1639" w14:textId="329B64D5" w:rsidR="00DE4E55" w:rsidRDefault="00311732" w:rsidP="00DE4E55">
      <w:pPr>
        <w:pStyle w:val="NoSpacing"/>
      </w:pPr>
      <w:r w:rsidRPr="00311732">
        <w:t xml:space="preserve">In a world that has become reliant on digital technology, most organisations’ current cyber security strategies are no longer enough to combat threats. </w:t>
      </w:r>
      <w:r w:rsidR="00DE4E55">
        <w:t xml:space="preserve">Our recently released </w:t>
      </w:r>
      <w:hyperlink r:id="rId11" w:history="1">
        <w:r w:rsidR="00DE4E55" w:rsidRPr="00225E12">
          <w:rPr>
            <w:rStyle w:val="Hyperlink"/>
            <w:rFonts w:cstheme="minorHAnsi"/>
            <w:i/>
            <w:iCs/>
            <w:bdr w:val="none" w:sz="0" w:space="0" w:color="auto" w:frame="1"/>
          </w:rPr>
          <w:t>C-suite barometer</w:t>
        </w:r>
      </w:hyperlink>
      <w:r w:rsidR="00DE4E55" w:rsidRPr="00225E12">
        <w:rPr>
          <w:rStyle w:val="Strong"/>
          <w:rFonts w:cstheme="minorHAnsi"/>
          <w:i/>
          <w:iCs/>
          <w:bdr w:val="none" w:sz="0" w:space="0" w:color="auto" w:frame="1"/>
        </w:rPr>
        <w:t xml:space="preserve"> </w:t>
      </w:r>
      <w:r w:rsidR="00DE4E55" w:rsidRPr="00DE4E55">
        <w:rPr>
          <w:rStyle w:val="Strong"/>
          <w:rFonts w:cstheme="minorHAnsi"/>
          <w:b w:val="0"/>
          <w:bCs w:val="0"/>
          <w:bdr w:val="none" w:sz="0" w:space="0" w:color="auto" w:frame="1"/>
        </w:rPr>
        <w:t>confirms the seriousness of the danger.</w:t>
      </w:r>
      <w:r w:rsidR="00DE4E55">
        <w:rPr>
          <w:rStyle w:val="Strong"/>
          <w:rFonts w:cstheme="minorHAnsi"/>
          <w:b w:val="0"/>
          <w:bCs w:val="0"/>
          <w:bdr w:val="none" w:sz="0" w:space="0" w:color="auto" w:frame="1"/>
        </w:rPr>
        <w:t xml:space="preserve"> </w:t>
      </w:r>
      <w:r w:rsidR="00DE4E55">
        <w:t xml:space="preserve">Over half of the 800+ global business leaders surveyed saw an increase in cyber threats over the past year. More than a third expect a significant data breach in their own company in the coming year. </w:t>
      </w:r>
      <w:r w:rsidR="00DE4E55" w:rsidRPr="00DE4E55">
        <w:t>Despite their concerns, most executives are confident of their ability to protect themselves in the event of an attack. Two-thirds say their data is “completely protected” and around 30% say it is “partially protected”.</w:t>
      </w:r>
    </w:p>
    <w:p w14:paraId="2F191A47" w14:textId="77777777" w:rsidR="00DE4E55" w:rsidRDefault="00DE4E55" w:rsidP="00DE4E55">
      <w:pPr>
        <w:pStyle w:val="NoSpacing"/>
      </w:pPr>
    </w:p>
    <w:p w14:paraId="563481C4" w14:textId="1AF1728E" w:rsidR="00DE4E55" w:rsidRDefault="00DE4E55" w:rsidP="00DE4E55">
      <w:pPr>
        <w:pStyle w:val="NoSpacing"/>
      </w:pPr>
      <w:r>
        <w:t xml:space="preserve">There is a growing disconnect between perceived and actual cyber risk. According to another Mazars report, </w:t>
      </w:r>
      <w:hyperlink r:id="rId12" w:history="1">
        <w:r w:rsidRPr="00DE4E55">
          <w:rPr>
            <w:rStyle w:val="Hyperlink"/>
            <w:i/>
            <w:iCs/>
          </w:rPr>
          <w:t>Cyber security: is your safety net strong enough?</w:t>
        </w:r>
      </w:hyperlink>
      <w:r>
        <w:t>,  while top managers make governance plans in the belief they can achieve – or have already achieved – a high level of security compliance, the day-to-day reality in IT departments is becoming ever more complex and fraught with risk</w:t>
      </w:r>
    </w:p>
    <w:p w14:paraId="51B7C2AE" w14:textId="77777777" w:rsidR="00DE4E55" w:rsidRDefault="00DE4E55" w:rsidP="00B149F8">
      <w:pPr>
        <w:pStyle w:val="NoSpacing"/>
        <w:rPr>
          <w:rStyle w:val="Strong"/>
          <w:rFonts w:cstheme="minorHAnsi"/>
          <w:b w:val="0"/>
          <w:bCs w:val="0"/>
          <w:bdr w:val="none" w:sz="0" w:space="0" w:color="auto" w:frame="1"/>
        </w:rPr>
      </w:pPr>
    </w:p>
    <w:p w14:paraId="56BD1CEA" w14:textId="77777777" w:rsidR="006E2BC0" w:rsidRDefault="00DE4E55" w:rsidP="00DE4E55">
      <w:pPr>
        <w:pStyle w:val="NoSpacing"/>
      </w:pPr>
      <w:r w:rsidRPr="00311732">
        <w:t xml:space="preserve">Future-proofing cyber security means complying with a plethora of new threats, legislation, conducting assurance reviews, accepting the complexity of the IT reality and preparing the human factor – and developing and fortifying it so it continues to mitigate current and future risks. </w:t>
      </w:r>
    </w:p>
    <w:p w14:paraId="35A3470E" w14:textId="77777777" w:rsidR="006E2BC0" w:rsidRDefault="006E2BC0" w:rsidP="00DE4E55">
      <w:pPr>
        <w:pStyle w:val="NoSpacing"/>
      </w:pPr>
    </w:p>
    <w:p w14:paraId="7770600D" w14:textId="300B1EA4" w:rsidR="00DE4E55" w:rsidRDefault="006E2BC0" w:rsidP="00DE4E55">
      <w:pPr>
        <w:pStyle w:val="NoSpacing"/>
      </w:pPr>
      <w:r>
        <w:t xml:space="preserve">This report offers an actionable guide on how to future-proof your business by adopting a proactive approach towards cyber security and shifting from responding to threats after they occur to anticipating and mitigating them in advance. </w:t>
      </w:r>
    </w:p>
    <w:p w14:paraId="4819CAED" w14:textId="77777777" w:rsidR="006E2BC0" w:rsidRDefault="006E2BC0" w:rsidP="00DE4E55">
      <w:pPr>
        <w:pStyle w:val="NoSpacing"/>
      </w:pPr>
    </w:p>
    <w:p w14:paraId="0670A62C" w14:textId="0E5A0074" w:rsidR="006E2BC0" w:rsidRDefault="006E2BC0" w:rsidP="00DE4E55">
      <w:pPr>
        <w:pStyle w:val="NoSpacing"/>
      </w:pPr>
      <w:r>
        <w:t xml:space="preserve">It provides an update on the latest legislation companies need to comply with in order to limit the impact and spread of cyber attacks in an interconnected world – and avoid the penalties of non-compliance. </w:t>
      </w:r>
    </w:p>
    <w:p w14:paraId="25FC1BFE" w14:textId="77777777" w:rsidR="006E2BC0" w:rsidRDefault="006E2BC0" w:rsidP="00DE4E55">
      <w:pPr>
        <w:pStyle w:val="NoSpacing"/>
      </w:pPr>
    </w:p>
    <w:p w14:paraId="2266D0FF" w14:textId="2783B420" w:rsidR="009C3C5F" w:rsidRPr="00B149F8" w:rsidRDefault="006E2BC0" w:rsidP="00B149F8">
      <w:pPr>
        <w:pStyle w:val="NoSpacing"/>
      </w:pPr>
      <w:r>
        <w:lastRenderedPageBreak/>
        <w:t xml:space="preserve">The report also outlines five pillars for defence against cyber threats that companies can adopt to ensure they are prepared, from both a technological and people perspective, to identify data risks, prevent attacks, detect </w:t>
      </w:r>
      <w:r w:rsidR="006774FA">
        <w:t>and respond to attacks, and recover to resuming business as usual.</w:t>
      </w:r>
      <w:r>
        <w:t xml:space="preserve"> </w:t>
      </w:r>
    </w:p>
    <w:p w14:paraId="4683016E" w14:textId="77777777" w:rsidR="00311732" w:rsidRPr="00B149F8" w:rsidRDefault="00311732" w:rsidP="00B149F8">
      <w:pPr>
        <w:pStyle w:val="NoSpacing"/>
      </w:pPr>
    </w:p>
    <w:p w14:paraId="35CCBCD1" w14:textId="1855C35E" w:rsidR="00457F63" w:rsidRPr="00DE4E55" w:rsidRDefault="00D60E1F" w:rsidP="00B149F8">
      <w:pPr>
        <w:pStyle w:val="NoSpacing"/>
      </w:pPr>
      <w:r w:rsidRPr="00B149F8">
        <w:t xml:space="preserve">The report is relevant to </w:t>
      </w:r>
      <w:r w:rsidR="00311732">
        <w:t>a broad range of</w:t>
      </w:r>
      <w:r w:rsidRPr="00B149F8">
        <w:t xml:space="preserve"> companies</w:t>
      </w:r>
      <w:r w:rsidR="00311732">
        <w:t xml:space="preserve"> that manage customer data, including retail, </w:t>
      </w:r>
      <w:r w:rsidR="00DE4E55">
        <w:t xml:space="preserve">consumer, </w:t>
      </w:r>
      <w:r w:rsidR="00311732">
        <w:t>technology</w:t>
      </w:r>
      <w:r w:rsidR="00B727CA">
        <w:t>,</w:t>
      </w:r>
      <w:r w:rsidR="00DE4E55">
        <w:t xml:space="preserve"> and</w:t>
      </w:r>
      <w:r w:rsidR="00311732">
        <w:t xml:space="preserve"> financial services </w:t>
      </w:r>
      <w:r w:rsidR="00DE4E55">
        <w:t>companies – p</w:t>
      </w:r>
      <w:r w:rsidR="00311732">
        <w:t>articularly those operating in Europe and the USA</w:t>
      </w:r>
      <w:r w:rsidR="00DE4E55">
        <w:t xml:space="preserve"> which are subject to new legislation. </w:t>
      </w:r>
      <w:r w:rsidRPr="00B149F8">
        <w:t xml:space="preserve">It forms part of Mazars’ integrated services to bring </w:t>
      </w:r>
      <w:r w:rsidRPr="00B149F8">
        <w:rPr>
          <w:highlight w:val="white"/>
        </w:rPr>
        <w:t xml:space="preserve">value to our clients’ decision-making and experience, along with audit, tax, financial advisory, and legal services.   </w:t>
      </w:r>
    </w:p>
    <w:p w14:paraId="58C2FD39" w14:textId="77777777" w:rsidR="00285406" w:rsidRDefault="00285406" w:rsidP="00B149F8">
      <w:pPr>
        <w:pStyle w:val="NoSpacing"/>
        <w:rPr>
          <w:b/>
        </w:rPr>
      </w:pPr>
    </w:p>
    <w:p w14:paraId="36987B44" w14:textId="1F534677" w:rsidR="00D60E1F" w:rsidRPr="00B149F8" w:rsidRDefault="00D60E1F" w:rsidP="00B149F8">
      <w:pPr>
        <w:pStyle w:val="NoSpacing"/>
        <w:rPr>
          <w:b/>
        </w:rPr>
      </w:pPr>
      <w:r w:rsidRPr="00B149F8">
        <w:rPr>
          <w:b/>
        </w:rPr>
        <w:t>###</w:t>
      </w:r>
    </w:p>
    <w:p w14:paraId="1049B013" w14:textId="77777777" w:rsidR="009C3C5F" w:rsidRDefault="009C3C5F" w:rsidP="00B149F8">
      <w:pPr>
        <w:pStyle w:val="NoSpacing"/>
        <w:rPr>
          <w:b/>
        </w:rPr>
      </w:pPr>
    </w:p>
    <w:p w14:paraId="07AC6930" w14:textId="2C6A97AE" w:rsidR="00A3633E" w:rsidRPr="001139BF" w:rsidRDefault="00A3633E" w:rsidP="001139BF">
      <w:pPr>
        <w:rPr>
          <w:b/>
          <w:bCs/>
        </w:rPr>
      </w:pPr>
      <w:r w:rsidRPr="001139BF">
        <w:rPr>
          <w:b/>
          <w:bCs/>
        </w:rPr>
        <w:t>Contact</w:t>
      </w:r>
    </w:p>
    <w:p w14:paraId="4B328024" w14:textId="37F3C896" w:rsidR="00FF4D48" w:rsidRPr="00FF4D48" w:rsidRDefault="00A3633E" w:rsidP="001139BF">
      <w:pPr>
        <w:rPr>
          <w:rStyle w:val="normaltextrun"/>
          <w:sz w:val="22"/>
          <w:szCs w:val="24"/>
        </w:rPr>
      </w:pPr>
      <w:r w:rsidRPr="00FF4D48">
        <w:rPr>
          <w:rStyle w:val="normaltextrun"/>
          <w:sz w:val="22"/>
          <w:szCs w:val="24"/>
        </w:rPr>
        <w:t>Lorraine Hackett, Group Brand &amp; Communications Director,</w:t>
      </w:r>
      <w:r w:rsidR="00285406" w:rsidRPr="00FF4D48">
        <w:rPr>
          <w:rStyle w:val="normaltextrun"/>
          <w:sz w:val="22"/>
          <w:szCs w:val="24"/>
        </w:rPr>
        <w:t xml:space="preserve"> </w:t>
      </w:r>
      <w:r w:rsidRPr="00FF4D48">
        <w:rPr>
          <w:rStyle w:val="normaltextrun"/>
          <w:sz w:val="22"/>
          <w:szCs w:val="24"/>
        </w:rPr>
        <w:t>Mazars </w:t>
      </w:r>
    </w:p>
    <w:p w14:paraId="723CCF7F" w14:textId="1AA10E4D" w:rsidR="001139BF" w:rsidRPr="00FF4D48" w:rsidRDefault="00000000" w:rsidP="001139BF">
      <w:pPr>
        <w:rPr>
          <w:sz w:val="22"/>
          <w:szCs w:val="24"/>
        </w:rPr>
      </w:pPr>
      <w:hyperlink r:id="rId13" w:history="1">
        <w:r w:rsidR="00FF4D48" w:rsidRPr="00FF4D48">
          <w:rPr>
            <w:rStyle w:val="Hyperlink"/>
            <w:sz w:val="22"/>
            <w:szCs w:val="24"/>
          </w:rPr>
          <w:t>lorraine.hackett@mazars.co.uk</w:t>
        </w:r>
      </w:hyperlink>
      <w:r w:rsidR="00A3633E" w:rsidRPr="00FF4D48">
        <w:rPr>
          <w:rStyle w:val="normaltextrun"/>
          <w:sz w:val="22"/>
          <w:szCs w:val="24"/>
        </w:rPr>
        <w:t xml:space="preserve"> / +44 (0)20 7063 4435</w:t>
      </w:r>
    </w:p>
    <w:p w14:paraId="4322DB12" w14:textId="77777777" w:rsidR="009C3C5F" w:rsidRDefault="009C3C5F" w:rsidP="001139BF"/>
    <w:p w14:paraId="1973B126" w14:textId="75F495C7" w:rsidR="00AE7C4C" w:rsidRPr="001139BF" w:rsidRDefault="00AE7C4C" w:rsidP="001139BF">
      <w:pPr>
        <w:rPr>
          <w:b/>
          <w:bCs/>
        </w:rPr>
      </w:pPr>
      <w:r w:rsidRPr="001139BF">
        <w:rPr>
          <w:b/>
          <w:bCs/>
        </w:rPr>
        <w:t>About Mazars</w:t>
      </w:r>
    </w:p>
    <w:p w14:paraId="065FBCA0" w14:textId="77777777" w:rsidR="00AE7C4C" w:rsidRPr="00B149F8" w:rsidRDefault="00AE7C4C" w:rsidP="001139BF">
      <w:pPr>
        <w:pStyle w:val="NoSpacing"/>
        <w:rPr>
          <w:rStyle w:val="normaltextrun"/>
          <w:color w:val="787878"/>
          <w:shd w:val="clear" w:color="auto" w:fill="FFFFFF"/>
        </w:rPr>
      </w:pPr>
      <w:bookmarkStart w:id="0" w:name="_x1qoae6ck2ey" w:colFirst="0" w:colLast="0"/>
      <w:bookmarkEnd w:id="0"/>
      <w:r w:rsidRPr="00B149F8">
        <w:rPr>
          <w:rStyle w:val="normaltextrun"/>
          <w:color w:val="787878"/>
          <w:shd w:val="clear" w:color="auto" w:fill="FFFFFF"/>
        </w:rPr>
        <w:t>Mazars is an internationally integrated partnership, specialising in audit, accountancy, advisory, tax and legal services*. Operating in over 95 countries and territories around the world, we draw on the expertise of more than 47,000 professionals – 30,000+ in Mazars’ integrated partnership and 17,000+ via the Mazars North America Alliance – to assist clients of all sizes at every stage in their development.</w:t>
      </w:r>
    </w:p>
    <w:p w14:paraId="21D3F3FC" w14:textId="77777777" w:rsidR="00AE7C4C" w:rsidRPr="001139BF" w:rsidRDefault="00AE7C4C" w:rsidP="001139BF">
      <w:pPr>
        <w:rPr>
          <w:rStyle w:val="normaltextrun"/>
          <w:color w:val="787878"/>
          <w:sz w:val="18"/>
          <w:szCs w:val="18"/>
          <w:shd w:val="clear" w:color="auto" w:fill="FFFFFF"/>
        </w:rPr>
      </w:pPr>
      <w:r w:rsidRPr="001139BF">
        <w:rPr>
          <w:rStyle w:val="normaltextrun"/>
          <w:color w:val="787878"/>
          <w:sz w:val="18"/>
          <w:szCs w:val="18"/>
          <w:shd w:val="clear" w:color="auto" w:fill="FFFFFF"/>
        </w:rPr>
        <w:t>*Where permitted under applicable country laws</w:t>
      </w:r>
    </w:p>
    <w:p w14:paraId="5EC1CD6E" w14:textId="77777777" w:rsidR="00457F63" w:rsidRPr="00B149F8" w:rsidRDefault="00457F63" w:rsidP="00B149F8">
      <w:pPr>
        <w:pStyle w:val="NoSpacing"/>
        <w:rPr>
          <w:iCs/>
        </w:rPr>
      </w:pPr>
    </w:p>
    <w:p w14:paraId="3C6D4639" w14:textId="77777777" w:rsidR="00457F63" w:rsidRPr="00B149F8" w:rsidRDefault="00457F63" w:rsidP="00B149F8">
      <w:pPr>
        <w:pStyle w:val="NoSpacing"/>
        <w:rPr>
          <w:iCs/>
        </w:rPr>
      </w:pPr>
    </w:p>
    <w:p w14:paraId="776FB412" w14:textId="77777777" w:rsidR="00457F63" w:rsidRPr="00B149F8" w:rsidRDefault="00457F63" w:rsidP="00B149F8">
      <w:pPr>
        <w:pStyle w:val="NoSpacing"/>
        <w:rPr>
          <w:iCs/>
        </w:rPr>
      </w:pPr>
    </w:p>
    <w:sectPr w:rsidR="00457F63" w:rsidRPr="00B149F8" w:rsidSect="00457F6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1440" w:bottom="1440" w:left="1440" w:header="1304" w:footer="720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9611C" w14:textId="77777777" w:rsidR="00C0110E" w:rsidRDefault="00C0110E" w:rsidP="007A7173">
      <w:pPr>
        <w:spacing w:after="0" w:line="240" w:lineRule="auto"/>
      </w:pPr>
      <w:r>
        <w:separator/>
      </w:r>
    </w:p>
  </w:endnote>
  <w:endnote w:type="continuationSeparator" w:id="0">
    <w:p w14:paraId="655D9905" w14:textId="77777777" w:rsidR="00C0110E" w:rsidRDefault="00C0110E" w:rsidP="007A7173">
      <w:pPr>
        <w:spacing w:after="0" w:line="240" w:lineRule="auto"/>
      </w:pPr>
      <w:r>
        <w:continuationSeparator/>
      </w:r>
    </w:p>
  </w:endnote>
  <w:endnote w:type="continuationNotice" w:id="1">
    <w:p w14:paraId="4F1008BB" w14:textId="77777777" w:rsidR="00C0110E" w:rsidRDefault="00C011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yardTextBook-Regular">
    <w:altName w:val="Cambria"/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7D213" w14:textId="77777777" w:rsidR="00A7477B" w:rsidRPr="00A7477B" w:rsidRDefault="00A7477B" w:rsidP="00A7477B">
    <w:pPr>
      <w:pStyle w:val="Footer"/>
      <w:tabs>
        <w:tab w:val="clear" w:pos="4513"/>
        <w:tab w:val="clear" w:pos="9026"/>
        <w:tab w:val="left" w:pos="1100"/>
      </w:tabs>
      <w:rPr>
        <w:sz w:val="16"/>
        <w:szCs w:val="16"/>
      </w:rPr>
    </w:pPr>
    <w:r w:rsidRPr="00A7477B">
      <w:rPr>
        <w:sz w:val="16"/>
        <w:szCs w:val="16"/>
      </w:rPr>
      <w:ptab w:relativeTo="margin" w:alignment="right" w:leader="none"/>
    </w:r>
    <w:r w:rsidRPr="00A7477B">
      <w:rPr>
        <w:sz w:val="16"/>
        <w:szCs w:val="16"/>
      </w:rPr>
      <w:fldChar w:fldCharType="begin"/>
    </w:r>
    <w:r w:rsidRPr="00A7477B">
      <w:rPr>
        <w:sz w:val="16"/>
        <w:szCs w:val="16"/>
      </w:rPr>
      <w:instrText xml:space="preserve"> PAGE   \* MERGEFORMAT </w:instrText>
    </w:r>
    <w:r w:rsidRPr="00A7477B">
      <w:rPr>
        <w:sz w:val="16"/>
        <w:szCs w:val="16"/>
      </w:rPr>
      <w:fldChar w:fldCharType="separate"/>
    </w:r>
    <w:r w:rsidRPr="00A7477B">
      <w:rPr>
        <w:noProof/>
        <w:sz w:val="16"/>
        <w:szCs w:val="16"/>
      </w:rPr>
      <w:t>1</w:t>
    </w:r>
    <w:r w:rsidRPr="00A7477B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6AA9" w14:textId="77777777" w:rsidR="00500996" w:rsidRDefault="00500996">
    <w:pPr>
      <w:pStyle w:val="Footer"/>
    </w:pPr>
    <w:r>
      <w:rPr>
        <w:noProof/>
      </w:rPr>
      <w:drawing>
        <wp:anchor distT="0" distB="0" distL="114300" distR="114300" simplePos="0" relativeHeight="251658241" behindDoc="0" locked="1" layoutInCell="1" allowOverlap="0" wp14:anchorId="6B962971" wp14:editId="7AC0CD48">
          <wp:simplePos x="0" y="0"/>
          <wp:positionH relativeFrom="column">
            <wp:posOffset>0</wp:posOffset>
          </wp:positionH>
          <wp:positionV relativeFrom="page">
            <wp:posOffset>9987915</wp:posOffset>
          </wp:positionV>
          <wp:extent cx="1533600" cy="241200"/>
          <wp:effectExtent l="0" t="0" r="0" b="6985"/>
          <wp:wrapNone/>
          <wp:docPr id="4" name="Picture 4" descr="A picture containing drawing, clock, me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drawing, clock, meter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600" cy="2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B951" w14:textId="77777777" w:rsidR="00C0110E" w:rsidRDefault="00C0110E" w:rsidP="007A7173">
      <w:pPr>
        <w:spacing w:after="0" w:line="240" w:lineRule="auto"/>
      </w:pPr>
      <w:r>
        <w:separator/>
      </w:r>
    </w:p>
  </w:footnote>
  <w:footnote w:type="continuationSeparator" w:id="0">
    <w:p w14:paraId="65082C90" w14:textId="77777777" w:rsidR="00C0110E" w:rsidRDefault="00C0110E" w:rsidP="007A7173">
      <w:pPr>
        <w:spacing w:after="0" w:line="240" w:lineRule="auto"/>
      </w:pPr>
      <w:r>
        <w:continuationSeparator/>
      </w:r>
    </w:p>
  </w:footnote>
  <w:footnote w:type="continuationNotice" w:id="1">
    <w:p w14:paraId="436784FC" w14:textId="77777777" w:rsidR="00C0110E" w:rsidRDefault="00C011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5FA5" w14:textId="77777777" w:rsidR="000D697E" w:rsidRDefault="000D697E">
    <w:pPr>
      <w:pStyle w:val="Header"/>
    </w:pPr>
    <w:r w:rsidRPr="00DD2FEE">
      <w:rPr>
        <w:rFonts w:cstheme="minorHAnsi"/>
        <w:noProof/>
      </w:rPr>
      <w:drawing>
        <wp:anchor distT="0" distB="0" distL="114300" distR="114300" simplePos="0" relativeHeight="251658240" behindDoc="1" locked="1" layoutInCell="1" allowOverlap="0" wp14:anchorId="6E9FEAB5" wp14:editId="08F1DD6B">
          <wp:simplePos x="0" y="0"/>
          <wp:positionH relativeFrom="page">
            <wp:posOffset>914400</wp:posOffset>
          </wp:positionH>
          <wp:positionV relativeFrom="page">
            <wp:posOffset>511175</wp:posOffset>
          </wp:positionV>
          <wp:extent cx="720000" cy="111600"/>
          <wp:effectExtent l="0" t="0" r="4445" b="3175"/>
          <wp:wrapTopAndBottom/>
          <wp:docPr id="3" name="Picture 3" descr="A picture containing drawing, clock, me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zars_Logo_2C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43C61" w14:textId="77777777" w:rsidR="007A7173" w:rsidRPr="00E84422" w:rsidRDefault="007A7173" w:rsidP="00E84422">
    <w:pPr>
      <w:pStyle w:val="BodyText"/>
      <w:spacing w:before="360" w:line="120" w:lineRule="exact"/>
      <w:rPr>
        <w:rFonts w:asciiTheme="minorHAnsi" w:hAnsiTheme="minorHAnsi" w:cstheme="minorHAnsi"/>
        <w:color w:val="2C2D33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4EEF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9E2B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DED5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6866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443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1C0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40B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849C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4A3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6865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8C4EAA"/>
    <w:multiLevelType w:val="hybridMultilevel"/>
    <w:tmpl w:val="666E0724"/>
    <w:lvl w:ilvl="0" w:tplc="6748B7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B0ACB"/>
    <w:multiLevelType w:val="hybridMultilevel"/>
    <w:tmpl w:val="87541C80"/>
    <w:lvl w:ilvl="0" w:tplc="6748B7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15D50"/>
    <w:multiLevelType w:val="hybridMultilevel"/>
    <w:tmpl w:val="02BC1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D1422B"/>
    <w:multiLevelType w:val="hybridMultilevel"/>
    <w:tmpl w:val="56FEB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131579">
    <w:abstractNumId w:val="9"/>
  </w:num>
  <w:num w:numId="2" w16cid:durableId="1195652787">
    <w:abstractNumId w:val="7"/>
  </w:num>
  <w:num w:numId="3" w16cid:durableId="62680107">
    <w:abstractNumId w:val="6"/>
  </w:num>
  <w:num w:numId="4" w16cid:durableId="1504978296">
    <w:abstractNumId w:val="5"/>
  </w:num>
  <w:num w:numId="5" w16cid:durableId="1784108772">
    <w:abstractNumId w:val="4"/>
  </w:num>
  <w:num w:numId="6" w16cid:durableId="1685739016">
    <w:abstractNumId w:val="8"/>
  </w:num>
  <w:num w:numId="7" w16cid:durableId="1273591655">
    <w:abstractNumId w:val="3"/>
  </w:num>
  <w:num w:numId="8" w16cid:durableId="1038966393">
    <w:abstractNumId w:val="2"/>
  </w:num>
  <w:num w:numId="9" w16cid:durableId="1330789745">
    <w:abstractNumId w:val="1"/>
  </w:num>
  <w:num w:numId="10" w16cid:durableId="870187431">
    <w:abstractNumId w:val="0"/>
  </w:num>
  <w:num w:numId="11" w16cid:durableId="876353205">
    <w:abstractNumId w:val="11"/>
  </w:num>
  <w:num w:numId="12" w16cid:durableId="1058094633">
    <w:abstractNumId w:val="10"/>
  </w:num>
  <w:num w:numId="13" w16cid:durableId="178740967">
    <w:abstractNumId w:val="13"/>
  </w:num>
  <w:num w:numId="14" w16cid:durableId="8406558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9BA"/>
    <w:rsid w:val="000038B4"/>
    <w:rsid w:val="00003C64"/>
    <w:rsid w:val="000510A7"/>
    <w:rsid w:val="000657BB"/>
    <w:rsid w:val="000D697E"/>
    <w:rsid w:val="001139BF"/>
    <w:rsid w:val="001275A9"/>
    <w:rsid w:val="00132B6C"/>
    <w:rsid w:val="00171BE9"/>
    <w:rsid w:val="001B1B00"/>
    <w:rsid w:val="001E1320"/>
    <w:rsid w:val="00200199"/>
    <w:rsid w:val="00202649"/>
    <w:rsid w:val="0024230C"/>
    <w:rsid w:val="0025148E"/>
    <w:rsid w:val="002634CA"/>
    <w:rsid w:val="00285406"/>
    <w:rsid w:val="002A4AC1"/>
    <w:rsid w:val="00311732"/>
    <w:rsid w:val="00372F0A"/>
    <w:rsid w:val="003874E3"/>
    <w:rsid w:val="003B0A55"/>
    <w:rsid w:val="003B2201"/>
    <w:rsid w:val="003B244E"/>
    <w:rsid w:val="003D1D89"/>
    <w:rsid w:val="003D345C"/>
    <w:rsid w:val="003D3659"/>
    <w:rsid w:val="003F1268"/>
    <w:rsid w:val="00440E53"/>
    <w:rsid w:val="004460F8"/>
    <w:rsid w:val="00450B57"/>
    <w:rsid w:val="00457F63"/>
    <w:rsid w:val="004D03C2"/>
    <w:rsid w:val="004E4F71"/>
    <w:rsid w:val="00500996"/>
    <w:rsid w:val="005226F8"/>
    <w:rsid w:val="00555DA3"/>
    <w:rsid w:val="00561A6F"/>
    <w:rsid w:val="005732CB"/>
    <w:rsid w:val="006500E3"/>
    <w:rsid w:val="0065660B"/>
    <w:rsid w:val="00656EE4"/>
    <w:rsid w:val="00662264"/>
    <w:rsid w:val="006644F8"/>
    <w:rsid w:val="006774FA"/>
    <w:rsid w:val="006819BA"/>
    <w:rsid w:val="006D0D1D"/>
    <w:rsid w:val="006E2BC0"/>
    <w:rsid w:val="0070200E"/>
    <w:rsid w:val="007136D2"/>
    <w:rsid w:val="00771EB5"/>
    <w:rsid w:val="00774F08"/>
    <w:rsid w:val="007A7173"/>
    <w:rsid w:val="007E1A93"/>
    <w:rsid w:val="007F44AA"/>
    <w:rsid w:val="0080520C"/>
    <w:rsid w:val="00862994"/>
    <w:rsid w:val="008B1972"/>
    <w:rsid w:val="00924155"/>
    <w:rsid w:val="00926D3E"/>
    <w:rsid w:val="0097401D"/>
    <w:rsid w:val="009A5948"/>
    <w:rsid w:val="009C3C5F"/>
    <w:rsid w:val="009D2351"/>
    <w:rsid w:val="009F3A4B"/>
    <w:rsid w:val="00A018E5"/>
    <w:rsid w:val="00A25945"/>
    <w:rsid w:val="00A3633E"/>
    <w:rsid w:val="00A433D8"/>
    <w:rsid w:val="00A55FCB"/>
    <w:rsid w:val="00A56A98"/>
    <w:rsid w:val="00A571BA"/>
    <w:rsid w:val="00A66C42"/>
    <w:rsid w:val="00A731AD"/>
    <w:rsid w:val="00A7477B"/>
    <w:rsid w:val="00A929A3"/>
    <w:rsid w:val="00AE7C4C"/>
    <w:rsid w:val="00B149F8"/>
    <w:rsid w:val="00B24AC2"/>
    <w:rsid w:val="00B3233C"/>
    <w:rsid w:val="00B42779"/>
    <w:rsid w:val="00B458CC"/>
    <w:rsid w:val="00B53B40"/>
    <w:rsid w:val="00B727CA"/>
    <w:rsid w:val="00BC62AA"/>
    <w:rsid w:val="00C0110E"/>
    <w:rsid w:val="00C01384"/>
    <w:rsid w:val="00C40884"/>
    <w:rsid w:val="00C4555F"/>
    <w:rsid w:val="00C826A4"/>
    <w:rsid w:val="00C845D3"/>
    <w:rsid w:val="00C852AE"/>
    <w:rsid w:val="00C92A3D"/>
    <w:rsid w:val="00CB14DC"/>
    <w:rsid w:val="00CB3485"/>
    <w:rsid w:val="00D3219A"/>
    <w:rsid w:val="00D60E1F"/>
    <w:rsid w:val="00D820D0"/>
    <w:rsid w:val="00D862F1"/>
    <w:rsid w:val="00DB17A8"/>
    <w:rsid w:val="00DB3EF3"/>
    <w:rsid w:val="00DD2FEE"/>
    <w:rsid w:val="00DE38B3"/>
    <w:rsid w:val="00DE4E55"/>
    <w:rsid w:val="00DF038E"/>
    <w:rsid w:val="00E80A99"/>
    <w:rsid w:val="00E84422"/>
    <w:rsid w:val="00E92FDE"/>
    <w:rsid w:val="00ED3236"/>
    <w:rsid w:val="00EE7245"/>
    <w:rsid w:val="00F02917"/>
    <w:rsid w:val="00F31F26"/>
    <w:rsid w:val="00F33D94"/>
    <w:rsid w:val="00F66464"/>
    <w:rsid w:val="00F73824"/>
    <w:rsid w:val="00F8037B"/>
    <w:rsid w:val="00F8248E"/>
    <w:rsid w:val="00F8360B"/>
    <w:rsid w:val="00FB7FB4"/>
    <w:rsid w:val="00FC4185"/>
    <w:rsid w:val="00FC74B7"/>
    <w:rsid w:val="00FD4A50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F78E5"/>
  <w15:chartTrackingRefBased/>
  <w15:docId w15:val="{9D0B7C1B-8CBD-462D-95AB-41FF9E2E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5A9"/>
    <w:pPr>
      <w:spacing w:after="120" w:line="300" w:lineRule="exact"/>
    </w:pPr>
    <w:rPr>
      <w:color w:val="787878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75A9"/>
    <w:pPr>
      <w:keepNext/>
      <w:keepLines/>
      <w:spacing w:before="240" w:after="240" w:line="360" w:lineRule="exact"/>
      <w:outlineLvl w:val="0"/>
    </w:pPr>
    <w:rPr>
      <w:rFonts w:asciiTheme="majorHAnsi" w:eastAsiaTheme="majorEastAsia" w:hAnsiTheme="majorHAnsi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48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color w:val="0071CE" w:themeColor="tex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57BB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5D3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173"/>
  </w:style>
  <w:style w:type="paragraph" w:styleId="Footer">
    <w:name w:val="footer"/>
    <w:basedOn w:val="Normal"/>
    <w:link w:val="FooterChar"/>
    <w:uiPriority w:val="99"/>
    <w:unhideWhenUsed/>
    <w:rsid w:val="007A7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173"/>
  </w:style>
  <w:style w:type="paragraph" w:styleId="BodyText">
    <w:name w:val="Body Text"/>
    <w:basedOn w:val="Normal"/>
    <w:link w:val="BodyTextChar"/>
    <w:uiPriority w:val="1"/>
    <w:rsid w:val="007A7173"/>
    <w:pPr>
      <w:widowControl w:val="0"/>
      <w:autoSpaceDE w:val="0"/>
      <w:autoSpaceDN w:val="0"/>
      <w:spacing w:after="0" w:line="240" w:lineRule="auto"/>
    </w:pPr>
    <w:rPr>
      <w:rFonts w:ascii="HalyardTextBook-Regular" w:eastAsia="HalyardTextBook-Regular" w:hAnsi="HalyardTextBook-Regular" w:cs="HalyardTextBook-Regular"/>
      <w:sz w:val="16"/>
      <w:szCs w:val="16"/>
      <w:lang w:val="fr-FR" w:eastAsia="fr-FR" w:bidi="fr-FR"/>
    </w:rPr>
  </w:style>
  <w:style w:type="character" w:customStyle="1" w:styleId="BodyTextChar">
    <w:name w:val="Body Text Char"/>
    <w:basedOn w:val="DefaultParagraphFont"/>
    <w:link w:val="BodyText"/>
    <w:uiPriority w:val="1"/>
    <w:rsid w:val="007A7173"/>
    <w:rPr>
      <w:rFonts w:ascii="HalyardTextBook-Regular" w:eastAsia="HalyardTextBook-Regular" w:hAnsi="HalyardTextBook-Regular" w:cs="HalyardTextBook-Regular"/>
      <w:sz w:val="16"/>
      <w:szCs w:val="16"/>
      <w:lang w:val="fr-FR" w:eastAsia="fr-FR" w:bidi="fr-FR"/>
    </w:rPr>
  </w:style>
  <w:style w:type="paragraph" w:customStyle="1" w:styleId="PP">
    <w:name w:val="PP"/>
    <w:basedOn w:val="Normal"/>
    <w:rsid w:val="000D697E"/>
    <w:pPr>
      <w:suppressAutoHyphens/>
      <w:spacing w:before="200" w:after="0" w:line="320" w:lineRule="exact"/>
      <w:jc w:val="both"/>
    </w:pPr>
    <w:rPr>
      <w:rFonts w:ascii="Book Antiqua" w:eastAsia="Times New Roman" w:hAnsi="Book Antiqua" w:cs="Times New Roman"/>
      <w:sz w:val="23"/>
      <w:szCs w:val="23"/>
      <w:lang w:val="fr-FR" w:eastAsia="fr-FR"/>
    </w:rPr>
  </w:style>
  <w:style w:type="paragraph" w:styleId="Title">
    <w:name w:val="Title"/>
    <w:basedOn w:val="Normal"/>
    <w:next w:val="Normal"/>
    <w:link w:val="TitleChar"/>
    <w:uiPriority w:val="10"/>
    <w:qFormat/>
    <w:rsid w:val="009A5948"/>
    <w:pPr>
      <w:spacing w:before="120" w:after="240" w:line="480" w:lineRule="exact"/>
    </w:pPr>
    <w:rPr>
      <w:rFonts w:asciiTheme="majorHAnsi" w:eastAsiaTheme="majorEastAsia" w:hAnsiTheme="majorHAnsi" w:cstheme="majorBidi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948"/>
    <w:rPr>
      <w:rFonts w:asciiTheme="majorHAnsi" w:eastAsiaTheme="majorEastAsia" w:hAnsiTheme="majorHAnsi" w:cstheme="majorBidi"/>
      <w:color w:val="787878" w:themeColor="text1"/>
      <w:kern w:val="28"/>
      <w:sz w:val="4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7A8"/>
    <w:pPr>
      <w:numPr>
        <w:ilvl w:val="1"/>
      </w:numPr>
      <w:spacing w:before="120" w:line="480" w:lineRule="exact"/>
    </w:pPr>
    <w:rPr>
      <w:rFonts w:eastAsiaTheme="minorEastAsia"/>
      <w:b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DB17A8"/>
    <w:rPr>
      <w:rFonts w:eastAsiaTheme="minorEastAsia"/>
      <w:b/>
      <w:color w:val="787878" w:themeColor="text1"/>
      <w:sz w:val="48"/>
    </w:rPr>
  </w:style>
  <w:style w:type="character" w:customStyle="1" w:styleId="Heading1Char">
    <w:name w:val="Heading 1 Char"/>
    <w:basedOn w:val="DefaultParagraphFont"/>
    <w:link w:val="Heading1"/>
    <w:uiPriority w:val="9"/>
    <w:rsid w:val="001275A9"/>
    <w:rPr>
      <w:rFonts w:asciiTheme="majorHAnsi" w:eastAsiaTheme="majorEastAsia" w:hAnsiTheme="majorHAnsi" w:cstheme="majorBidi"/>
      <w:color w:val="787878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148E"/>
    <w:rPr>
      <w:rFonts w:asciiTheme="majorHAnsi" w:eastAsiaTheme="majorEastAsia" w:hAnsiTheme="majorHAnsi" w:cstheme="majorBidi"/>
      <w:b/>
      <w:color w:val="0071CE" w:themeColor="text2"/>
      <w:sz w:val="24"/>
      <w:szCs w:val="26"/>
    </w:rPr>
  </w:style>
  <w:style w:type="paragraph" w:styleId="ListParagraph">
    <w:name w:val="List Paragraph"/>
    <w:basedOn w:val="Normal"/>
    <w:uiPriority w:val="34"/>
    <w:qFormat/>
    <w:rsid w:val="0080520C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0657BB"/>
    <w:rPr>
      <w:rFonts w:asciiTheme="majorHAnsi" w:eastAsiaTheme="majorEastAsia" w:hAnsiTheme="majorHAnsi" w:cstheme="majorBidi"/>
      <w:b/>
      <w:color w:val="787878" w:themeColor="text1"/>
      <w:sz w:val="20"/>
      <w:szCs w:val="24"/>
    </w:rPr>
  </w:style>
  <w:style w:type="paragraph" w:styleId="NoSpacing">
    <w:name w:val="No Spacing"/>
    <w:uiPriority w:val="1"/>
    <w:qFormat/>
    <w:rsid w:val="0080520C"/>
    <w:pPr>
      <w:spacing w:after="0" w:line="300" w:lineRule="exact"/>
    </w:pPr>
    <w:rPr>
      <w:color w:val="787878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5D3"/>
    <w:rPr>
      <w:rFonts w:asciiTheme="majorHAnsi" w:eastAsiaTheme="majorEastAsia" w:hAnsiTheme="majorHAnsi" w:cstheme="majorBidi"/>
      <w:b/>
      <w:iCs/>
      <w:color w:val="787878" w:themeColor="text1"/>
      <w:sz w:val="20"/>
    </w:rPr>
  </w:style>
  <w:style w:type="paragraph" w:styleId="ListBullet">
    <w:name w:val="List Bullet"/>
    <w:basedOn w:val="Normal"/>
    <w:uiPriority w:val="99"/>
    <w:semiHidden/>
    <w:unhideWhenUsed/>
    <w:rsid w:val="0080520C"/>
    <w:pPr>
      <w:numPr>
        <w:numId w:val="1"/>
      </w:numPr>
      <w:ind w:left="357" w:hanging="357"/>
    </w:pPr>
  </w:style>
  <w:style w:type="paragraph" w:customStyle="1" w:styleId="Introduction">
    <w:name w:val="Introduction"/>
    <w:basedOn w:val="Normal"/>
    <w:qFormat/>
    <w:rsid w:val="003B0A55"/>
    <w:pPr>
      <w:spacing w:line="360" w:lineRule="exact"/>
    </w:pPr>
    <w:rPr>
      <w:color w:val="0071CE" w:themeColor="text2"/>
      <w:sz w:val="28"/>
      <w:lang w:val="en-US"/>
    </w:rPr>
  </w:style>
  <w:style w:type="table" w:styleId="TableGrid">
    <w:name w:val="Table Grid"/>
    <w:basedOn w:val="TableNormal"/>
    <w:uiPriority w:val="39"/>
    <w:rsid w:val="00A74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A7477B"/>
    <w:pPr>
      <w:spacing w:after="0" w:line="240" w:lineRule="auto"/>
    </w:pPr>
    <w:tblPr>
      <w:tblStyleRowBandSize w:val="1"/>
      <w:tblStyleColBandSize w:val="1"/>
      <w:tblBorders>
        <w:top w:val="single" w:sz="4" w:space="0" w:color="9EA480" w:themeColor="accent5"/>
        <w:left w:val="single" w:sz="4" w:space="0" w:color="9EA480" w:themeColor="accent5"/>
        <w:bottom w:val="single" w:sz="4" w:space="0" w:color="9EA480" w:themeColor="accent5"/>
        <w:right w:val="single" w:sz="4" w:space="0" w:color="9EA48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A480" w:themeFill="accent5"/>
      </w:tcPr>
    </w:tblStylePr>
    <w:tblStylePr w:type="lastRow">
      <w:rPr>
        <w:b/>
        <w:bCs/>
      </w:rPr>
      <w:tblPr/>
      <w:tcPr>
        <w:tcBorders>
          <w:top w:val="double" w:sz="4" w:space="0" w:color="9EA48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A480" w:themeColor="accent5"/>
          <w:right w:val="single" w:sz="4" w:space="0" w:color="9EA480" w:themeColor="accent5"/>
        </w:tcBorders>
      </w:tcPr>
    </w:tblStylePr>
    <w:tblStylePr w:type="band1Horz">
      <w:tblPr/>
      <w:tcPr>
        <w:tcBorders>
          <w:top w:val="single" w:sz="4" w:space="0" w:color="9EA480" w:themeColor="accent5"/>
          <w:bottom w:val="single" w:sz="4" w:space="0" w:color="9EA48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A480" w:themeColor="accent5"/>
          <w:left w:val="nil"/>
        </w:tcBorders>
      </w:tcPr>
    </w:tblStylePr>
    <w:tblStylePr w:type="swCell">
      <w:tblPr/>
      <w:tcPr>
        <w:tcBorders>
          <w:top w:val="double" w:sz="4" w:space="0" w:color="9EA480" w:themeColor="accent5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A7477B"/>
    <w:pPr>
      <w:spacing w:after="0" w:line="240" w:lineRule="auto"/>
    </w:pPr>
    <w:tblPr>
      <w:tblStyleRowBandSize w:val="1"/>
      <w:tblStyleColBandSize w:val="1"/>
      <w:tblBorders>
        <w:top w:val="single" w:sz="4" w:space="0" w:color="986C86" w:themeColor="accent6" w:themeTint="99"/>
        <w:left w:val="single" w:sz="4" w:space="0" w:color="986C86" w:themeColor="accent6" w:themeTint="99"/>
        <w:bottom w:val="single" w:sz="4" w:space="0" w:color="986C86" w:themeColor="accent6" w:themeTint="99"/>
        <w:right w:val="single" w:sz="4" w:space="0" w:color="986C86" w:themeColor="accent6" w:themeTint="99"/>
        <w:insideH w:val="single" w:sz="4" w:space="0" w:color="986C8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82731" w:themeColor="accent6"/>
          <w:left w:val="single" w:sz="4" w:space="0" w:color="382731" w:themeColor="accent6"/>
          <w:bottom w:val="single" w:sz="4" w:space="0" w:color="382731" w:themeColor="accent6"/>
          <w:right w:val="single" w:sz="4" w:space="0" w:color="382731" w:themeColor="accent6"/>
          <w:insideH w:val="nil"/>
        </w:tcBorders>
        <w:shd w:val="clear" w:color="auto" w:fill="382731" w:themeFill="accent6"/>
      </w:tcPr>
    </w:tblStylePr>
    <w:tblStylePr w:type="lastRow">
      <w:rPr>
        <w:b/>
        <w:bCs/>
      </w:rPr>
      <w:tblPr/>
      <w:tcPr>
        <w:tcBorders>
          <w:top w:val="double" w:sz="4" w:space="0" w:color="986C8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ED6" w:themeFill="accent6" w:themeFillTint="33"/>
      </w:tcPr>
    </w:tblStylePr>
    <w:tblStylePr w:type="band1Horz">
      <w:tblPr/>
      <w:tcPr>
        <w:shd w:val="clear" w:color="auto" w:fill="DDCED6" w:themeFill="accent6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A7477B"/>
    <w:rPr>
      <w:color w:val="808080"/>
    </w:rPr>
  </w:style>
  <w:style w:type="table" w:styleId="ListTable4-Accent4">
    <w:name w:val="List Table 4 Accent 4"/>
    <w:basedOn w:val="TableNormal"/>
    <w:uiPriority w:val="49"/>
    <w:rsid w:val="003B0A55"/>
    <w:pPr>
      <w:spacing w:after="0" w:line="240" w:lineRule="auto"/>
    </w:pPr>
    <w:tblPr>
      <w:tblStyleRowBandSize w:val="1"/>
      <w:tblStyleColBandSize w:val="1"/>
      <w:tblBorders>
        <w:top w:val="single" w:sz="4" w:space="0" w:color="7C87BA" w:themeColor="accent4" w:themeTint="99"/>
        <w:left w:val="single" w:sz="4" w:space="0" w:color="7C87BA" w:themeColor="accent4" w:themeTint="99"/>
        <w:bottom w:val="single" w:sz="4" w:space="0" w:color="7C87BA" w:themeColor="accent4" w:themeTint="99"/>
        <w:right w:val="single" w:sz="4" w:space="0" w:color="7C87BA" w:themeColor="accent4" w:themeTint="99"/>
        <w:insideH w:val="single" w:sz="4" w:space="0" w:color="7C87B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4775" w:themeColor="accent4"/>
          <w:left w:val="single" w:sz="4" w:space="0" w:color="3D4775" w:themeColor="accent4"/>
          <w:bottom w:val="single" w:sz="4" w:space="0" w:color="3D4775" w:themeColor="accent4"/>
          <w:right w:val="single" w:sz="4" w:space="0" w:color="3D4775" w:themeColor="accent4"/>
          <w:insideH w:val="nil"/>
        </w:tcBorders>
        <w:shd w:val="clear" w:color="auto" w:fill="3D4775" w:themeFill="accent4"/>
      </w:tcPr>
    </w:tblStylePr>
    <w:tblStylePr w:type="lastRow">
      <w:rPr>
        <w:b/>
        <w:bCs/>
      </w:rPr>
      <w:tblPr/>
      <w:tcPr>
        <w:tcBorders>
          <w:top w:val="double" w:sz="4" w:space="0" w:color="7C87B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6E8" w:themeFill="accent4" w:themeFillTint="33"/>
      </w:tcPr>
    </w:tblStylePr>
    <w:tblStylePr w:type="band1Horz">
      <w:tblPr/>
      <w:tcPr>
        <w:shd w:val="clear" w:color="auto" w:fill="D3D6E8" w:themeFill="accent4" w:themeFillTint="33"/>
      </w:tcPr>
    </w:tblStylePr>
  </w:style>
  <w:style w:type="character" w:customStyle="1" w:styleId="normaltextrun">
    <w:name w:val="normaltextrun"/>
    <w:basedOn w:val="DefaultParagraphFont"/>
    <w:rsid w:val="00A3633E"/>
  </w:style>
  <w:style w:type="character" w:customStyle="1" w:styleId="eop">
    <w:name w:val="eop"/>
    <w:basedOn w:val="DefaultParagraphFont"/>
    <w:rsid w:val="00A3633E"/>
  </w:style>
  <w:style w:type="paragraph" w:styleId="Revision">
    <w:name w:val="Revision"/>
    <w:hidden/>
    <w:uiPriority w:val="99"/>
    <w:semiHidden/>
    <w:rsid w:val="000510A7"/>
    <w:pPr>
      <w:spacing w:after="0" w:line="240" w:lineRule="auto"/>
    </w:pPr>
    <w:rPr>
      <w:color w:val="787878" w:themeColor="text1"/>
      <w:sz w:val="20"/>
    </w:rPr>
  </w:style>
  <w:style w:type="character" w:styleId="Strong">
    <w:name w:val="Strong"/>
    <w:basedOn w:val="DefaultParagraphFont"/>
    <w:uiPriority w:val="22"/>
    <w:qFormat/>
    <w:rsid w:val="00DE4E55"/>
    <w:rPr>
      <w:b/>
      <w:bCs/>
    </w:rPr>
  </w:style>
  <w:style w:type="character" w:styleId="Hyperlink">
    <w:name w:val="Hyperlink"/>
    <w:basedOn w:val="DefaultParagraphFont"/>
    <w:uiPriority w:val="99"/>
    <w:unhideWhenUsed/>
    <w:rsid w:val="00DE4E55"/>
    <w:rPr>
      <w:color w:val="79AFD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4E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7852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orraine.hackett@mazars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zars.com/content/download/1099815/57121234/version/1/file/Mazars-Cyber-Security-Report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zars.com/content/download/1145743/58741969/version/file/C-suite-barometer-outlook-202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nis.uhl\AppData\Roaming\Microsoft\Templates\Mazars_Word_General.dotx" TargetMode="External"/></Relationships>
</file>

<file path=word/theme/theme1.xml><?xml version="1.0" encoding="utf-8"?>
<a:theme xmlns:a="http://schemas.openxmlformats.org/drawingml/2006/main" name="Mazars_2020">
  <a:themeElements>
    <a:clrScheme name="Mazars_Palette">
      <a:dk1>
        <a:srgbClr val="787878"/>
      </a:dk1>
      <a:lt1>
        <a:srgbClr val="FFFFFF"/>
      </a:lt1>
      <a:dk2>
        <a:srgbClr val="0071CE"/>
      </a:dk2>
      <a:lt2>
        <a:srgbClr val="F3F4F3"/>
      </a:lt2>
      <a:accent1>
        <a:srgbClr val="0A1F8F"/>
      </a:accent1>
      <a:accent2>
        <a:srgbClr val="704B63"/>
      </a:accent2>
      <a:accent3>
        <a:srgbClr val="3D8375"/>
      </a:accent3>
      <a:accent4>
        <a:srgbClr val="3D4775"/>
      </a:accent4>
      <a:accent5>
        <a:srgbClr val="9EA480"/>
      </a:accent5>
      <a:accent6>
        <a:srgbClr val="382731"/>
      </a:accent6>
      <a:hlink>
        <a:srgbClr val="79AFDA"/>
      </a:hlink>
      <a:folHlink>
        <a:srgbClr val="457E8F"/>
      </a:folHlink>
    </a:clrScheme>
    <a:fontScheme name="Mazars_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zars_2020" id="{FD9C630B-E050-4FE4-88A6-7CDF9C1AA0DE}" vid="{0E13FFA4-8238-43BF-8B56-572A5481385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0E1B09062AD49819E2D8199E04511" ma:contentTypeVersion="14" ma:contentTypeDescription="Crée un document." ma:contentTypeScope="" ma:versionID="325af67a227fd72ff40910c20ea750ae">
  <xsd:schema xmlns:xsd="http://www.w3.org/2001/XMLSchema" xmlns:xs="http://www.w3.org/2001/XMLSchema" xmlns:p="http://schemas.microsoft.com/office/2006/metadata/properties" xmlns:ns2="559a10d5-d310-4afa-9d49-c3b4888f46d5" xmlns:ns3="194a1b92-aea9-4da8-bac8-1f37018abedc" targetNamespace="http://schemas.microsoft.com/office/2006/metadata/properties" ma:root="true" ma:fieldsID="d054fdd9ba0c547fa4b476baa0254b6b" ns2:_="" ns3:_="">
    <xsd:import namespace="559a10d5-d310-4afa-9d49-c3b4888f46d5"/>
    <xsd:import namespace="194a1b92-aea9-4da8-bac8-1f37018abe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a10d5-d310-4afa-9d49-c3b4888f4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4ae0aa21-f092-4d7c-8480-48d435008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a1b92-aea9-4da8-bac8-1f37018abe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42e0df-fcea-40d5-a590-24583ca23ba0}" ma:internalName="TaxCatchAll" ma:showField="CatchAllData" ma:web="194a1b92-aea9-4da8-bac8-1f37018abe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9a10d5-d310-4afa-9d49-c3b4888f46d5">
      <Terms xmlns="http://schemas.microsoft.com/office/infopath/2007/PartnerControls"/>
    </lcf76f155ced4ddcb4097134ff3c332f>
    <TaxCatchAll xmlns="194a1b92-aea9-4da8-bac8-1f37018abe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0560C-A215-476B-AD3B-AC87B5CA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a10d5-d310-4afa-9d49-c3b4888f46d5"/>
    <ds:schemaRef ds:uri="194a1b92-aea9-4da8-bac8-1f37018abe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34D79-0071-4D37-A5B3-1BFEB975C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71B4C-1AF3-49B2-BF4B-A95A3DA8F31C}">
  <ds:schemaRefs>
    <ds:schemaRef ds:uri="http://schemas.microsoft.com/office/2006/metadata/properties"/>
    <ds:schemaRef ds:uri="http://schemas.microsoft.com/office/infopath/2007/PartnerControls"/>
    <ds:schemaRef ds:uri="559a10d5-d310-4afa-9d49-c3b4888f46d5"/>
    <ds:schemaRef ds:uri="194a1b92-aea9-4da8-bac8-1f37018abedc"/>
  </ds:schemaRefs>
</ds:datastoreItem>
</file>

<file path=customXml/itemProps4.xml><?xml version="1.0" encoding="utf-8"?>
<ds:datastoreItem xmlns:ds="http://schemas.openxmlformats.org/officeDocument/2006/customXml" ds:itemID="{AA75FA76-1F43-449C-9547-46793598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Mazars_Word_General</Template>
  <TotalTime>50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4250</CharactersWithSpaces>
  <SharedDoc>false</SharedDoc>
  <HLinks>
    <vt:vector size="18" baseType="variant">
      <vt:variant>
        <vt:i4>3538960</vt:i4>
      </vt:variant>
      <vt:variant>
        <vt:i4>6</vt:i4>
      </vt:variant>
      <vt:variant>
        <vt:i4>0</vt:i4>
      </vt:variant>
      <vt:variant>
        <vt:i4>5</vt:i4>
      </vt:variant>
      <vt:variant>
        <vt:lpwstr>mailto:lorraine.hackett@mazars.co.uk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https://www.mazars.com/Home/Insights/Mazars-C-suite-barometer/C-suite-barometer-outlook-2023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https://www.mazars.com/Home/Insights/Mazars-C-suite-barometer/C-suite-barometer-outlook-2023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UHL Dennis</dc:creator>
  <cp:keywords/>
  <dc:description/>
  <cp:lastModifiedBy>Maxima Lion</cp:lastModifiedBy>
  <cp:revision>10</cp:revision>
  <dcterms:created xsi:type="dcterms:W3CDTF">2023-09-20T12:54:00Z</dcterms:created>
  <dcterms:modified xsi:type="dcterms:W3CDTF">2023-09-27T10:52:00Z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0x0101002730E1B09062AD49819E2D8199E04511</vt:lpwstr>
  </property>
  <property fmtid="{D5CDD505-2E9C-101B-9397-08002B2CF9AE}" pid="3" name="MSIP_Label_ae8fab06-504b-4325-93a9-50ca85e66f06_Enabled">
    <vt:lpwstr>true</vt:lpwstr>
  </property>
  <property fmtid="{D5CDD505-2E9C-101B-9397-08002B2CF9AE}" pid="4" name="MSIP_Label_ae8fab06-504b-4325-93a9-50ca85e66f06_SetDate">
    <vt:lpwstr>2022-04-24T13:01:27Z</vt:lpwstr>
  </property>
  <property fmtid="{D5CDD505-2E9C-101B-9397-08002B2CF9AE}" pid="5" name="MSIP_Label_ae8fab06-504b-4325-93a9-50ca85e66f06_Method">
    <vt:lpwstr>Standard</vt:lpwstr>
  </property>
  <property fmtid="{D5CDD505-2E9C-101B-9397-08002B2CF9AE}" pid="6" name="MSIP_Label_ae8fab06-504b-4325-93a9-50ca85e66f06_Name">
    <vt:lpwstr>C-Confidentiel</vt:lpwstr>
  </property>
  <property fmtid="{D5CDD505-2E9C-101B-9397-08002B2CF9AE}" pid="7" name="MSIP_Label_ae8fab06-504b-4325-93a9-50ca85e66f06_SiteId">
    <vt:lpwstr>41d9a388-7aef-420d-976c-d046beab641f</vt:lpwstr>
  </property>
  <property fmtid="{D5CDD505-2E9C-101B-9397-08002B2CF9AE}" pid="8" name="MSIP_Label_ae8fab06-504b-4325-93a9-50ca85e66f06_ActionId">
    <vt:lpwstr>50fa7f7b-3bd5-4352-9524-984855ce73b1</vt:lpwstr>
  </property>
  <property fmtid="{D5CDD505-2E9C-101B-9397-08002B2CF9AE}" pid="9" name="MSIP_Label_ae8fab06-504b-4325-93a9-50ca85e66f06_ContentBits">
    <vt:lpwstr>0</vt:lpwstr>
  </property>
  <property fmtid="{D5CDD505-2E9C-101B-9397-08002B2CF9AE}" pid="10" name="MediaServiceImageTags">
    <vt:lpwstr/>
  </property>
</Properties>
</file>